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3BA" w:rsidRDefault="003663BA">
      <w:pPr>
        <w:spacing w:line="600" w:lineRule="exact"/>
        <w:rPr>
          <w:rFonts w:eastAsia="黑体"/>
          <w:kern w:val="0"/>
          <w:sz w:val="32"/>
          <w:szCs w:val="32"/>
        </w:rPr>
      </w:pPr>
    </w:p>
    <w:p w:rsidR="003663BA" w:rsidRDefault="00941EB2">
      <w:pPr>
        <w:jc w:val="center"/>
        <w:rPr>
          <w:rFonts w:eastAsia="方正小标宋_GBK"/>
          <w:sz w:val="48"/>
          <w:szCs w:val="48"/>
        </w:rPr>
      </w:pPr>
      <w:r>
        <w:rPr>
          <w:rFonts w:eastAsia="方正小标宋_GBK" w:hint="eastAsia"/>
          <w:sz w:val="48"/>
          <w:szCs w:val="48"/>
        </w:rPr>
        <w:t>2023</w:t>
      </w:r>
      <w:r>
        <w:rPr>
          <w:rFonts w:eastAsia="方正小标宋_GBK"/>
          <w:sz w:val="48"/>
          <w:szCs w:val="48"/>
        </w:rPr>
        <w:t>年度</w:t>
      </w:r>
      <w:r>
        <w:rPr>
          <w:rFonts w:eastAsia="方正小标宋_GBK" w:hint="eastAsia"/>
          <w:sz w:val="48"/>
          <w:szCs w:val="48"/>
        </w:rPr>
        <w:t>江永县第三小学</w:t>
      </w:r>
    </w:p>
    <w:p w:rsidR="003663BA" w:rsidRDefault="00941EB2">
      <w:pPr>
        <w:jc w:val="center"/>
        <w:rPr>
          <w:rFonts w:eastAsia="方正小标宋_GBK"/>
          <w:sz w:val="48"/>
          <w:szCs w:val="48"/>
        </w:rPr>
      </w:pPr>
      <w:r>
        <w:rPr>
          <w:rFonts w:eastAsia="方正小标宋_GBK"/>
          <w:sz w:val="48"/>
          <w:szCs w:val="48"/>
        </w:rPr>
        <w:t>整体支出绩效自评报告</w:t>
      </w:r>
    </w:p>
    <w:p w:rsidR="003663BA" w:rsidRDefault="003663BA">
      <w:pPr>
        <w:jc w:val="center"/>
        <w:rPr>
          <w:rFonts w:eastAsia="黑体"/>
          <w:sz w:val="32"/>
          <w:szCs w:val="32"/>
        </w:rPr>
      </w:pPr>
    </w:p>
    <w:p w:rsidR="003663BA" w:rsidRDefault="003663BA">
      <w:pPr>
        <w:jc w:val="center"/>
        <w:rPr>
          <w:rFonts w:eastAsia="黑体"/>
          <w:sz w:val="32"/>
          <w:szCs w:val="32"/>
        </w:rPr>
      </w:pPr>
    </w:p>
    <w:p w:rsidR="003663BA" w:rsidRDefault="003663BA">
      <w:pPr>
        <w:jc w:val="center"/>
        <w:rPr>
          <w:rFonts w:eastAsia="黑体"/>
          <w:sz w:val="32"/>
          <w:szCs w:val="32"/>
        </w:rPr>
      </w:pPr>
    </w:p>
    <w:p w:rsidR="003663BA" w:rsidRDefault="003663BA">
      <w:pPr>
        <w:jc w:val="center"/>
        <w:rPr>
          <w:rFonts w:eastAsia="黑体"/>
          <w:sz w:val="32"/>
          <w:szCs w:val="32"/>
        </w:rPr>
      </w:pPr>
    </w:p>
    <w:p w:rsidR="003663BA" w:rsidRDefault="003663BA">
      <w:pPr>
        <w:jc w:val="center"/>
        <w:rPr>
          <w:rFonts w:eastAsia="黑体"/>
          <w:sz w:val="32"/>
          <w:szCs w:val="32"/>
        </w:rPr>
      </w:pPr>
    </w:p>
    <w:p w:rsidR="003663BA" w:rsidRDefault="003663BA">
      <w:pPr>
        <w:jc w:val="center"/>
        <w:rPr>
          <w:rFonts w:eastAsia="黑体"/>
          <w:sz w:val="32"/>
          <w:szCs w:val="32"/>
        </w:rPr>
      </w:pPr>
    </w:p>
    <w:p w:rsidR="003663BA" w:rsidRDefault="003663BA">
      <w:pPr>
        <w:jc w:val="center"/>
        <w:rPr>
          <w:rFonts w:eastAsia="黑体"/>
          <w:sz w:val="32"/>
          <w:szCs w:val="32"/>
        </w:rPr>
      </w:pPr>
    </w:p>
    <w:p w:rsidR="003663BA" w:rsidRDefault="003663BA">
      <w:pPr>
        <w:ind w:firstLineChars="200" w:firstLine="880"/>
        <w:jc w:val="center"/>
        <w:rPr>
          <w:rFonts w:eastAsia="黑体"/>
          <w:sz w:val="44"/>
          <w:szCs w:val="44"/>
        </w:rPr>
      </w:pPr>
    </w:p>
    <w:p w:rsidR="003663BA" w:rsidRDefault="003663BA">
      <w:pPr>
        <w:ind w:firstLineChars="200" w:firstLine="880"/>
        <w:jc w:val="center"/>
        <w:rPr>
          <w:rFonts w:eastAsia="黑体"/>
          <w:sz w:val="44"/>
          <w:szCs w:val="44"/>
        </w:rPr>
      </w:pPr>
    </w:p>
    <w:p w:rsidR="003663BA" w:rsidRDefault="003663BA">
      <w:pPr>
        <w:ind w:firstLineChars="200" w:firstLine="880"/>
        <w:jc w:val="center"/>
        <w:rPr>
          <w:rFonts w:eastAsia="黑体"/>
          <w:sz w:val="44"/>
          <w:szCs w:val="44"/>
        </w:rPr>
      </w:pPr>
    </w:p>
    <w:p w:rsidR="003663BA" w:rsidRDefault="003663BA">
      <w:pPr>
        <w:ind w:firstLineChars="200" w:firstLine="880"/>
        <w:jc w:val="center"/>
        <w:rPr>
          <w:rFonts w:eastAsia="黑体"/>
          <w:sz w:val="44"/>
          <w:szCs w:val="44"/>
        </w:rPr>
      </w:pPr>
    </w:p>
    <w:p w:rsidR="003663BA" w:rsidRDefault="003663BA">
      <w:pPr>
        <w:ind w:firstLineChars="200" w:firstLine="880"/>
        <w:jc w:val="center"/>
        <w:rPr>
          <w:rFonts w:eastAsia="黑体"/>
          <w:sz w:val="44"/>
          <w:szCs w:val="44"/>
        </w:rPr>
      </w:pPr>
    </w:p>
    <w:p w:rsidR="003663BA" w:rsidRDefault="003663BA">
      <w:pPr>
        <w:ind w:firstLineChars="200" w:firstLine="880"/>
        <w:jc w:val="center"/>
        <w:rPr>
          <w:rFonts w:eastAsia="黑体"/>
          <w:sz w:val="44"/>
          <w:szCs w:val="44"/>
        </w:rPr>
      </w:pPr>
    </w:p>
    <w:p w:rsidR="003663BA" w:rsidRDefault="00941EB2">
      <w:pPr>
        <w:ind w:firstLineChars="200" w:firstLine="720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单位名称（盖章）：</w:t>
      </w:r>
      <w:r>
        <w:rPr>
          <w:rFonts w:eastAsia="黑体" w:hint="eastAsia"/>
          <w:sz w:val="36"/>
          <w:szCs w:val="36"/>
        </w:rPr>
        <w:t>江永县第三小学</w:t>
      </w:r>
    </w:p>
    <w:p w:rsidR="003663BA" w:rsidRDefault="003663BA">
      <w:pPr>
        <w:jc w:val="center"/>
        <w:rPr>
          <w:rFonts w:eastAsia="黑体"/>
          <w:sz w:val="36"/>
          <w:szCs w:val="36"/>
        </w:rPr>
      </w:pPr>
    </w:p>
    <w:p w:rsidR="003663BA" w:rsidRDefault="003663BA">
      <w:pPr>
        <w:jc w:val="center"/>
        <w:rPr>
          <w:rFonts w:eastAsia="黑体"/>
          <w:sz w:val="32"/>
          <w:szCs w:val="32"/>
        </w:rPr>
      </w:pPr>
    </w:p>
    <w:p w:rsidR="003663BA" w:rsidRDefault="003663BA">
      <w:pPr>
        <w:jc w:val="center"/>
        <w:rPr>
          <w:rFonts w:eastAsia="黑体"/>
          <w:sz w:val="32"/>
          <w:szCs w:val="32"/>
        </w:rPr>
      </w:pPr>
    </w:p>
    <w:p w:rsidR="003663BA" w:rsidRDefault="003663BA">
      <w:pPr>
        <w:jc w:val="center"/>
        <w:rPr>
          <w:rFonts w:eastAsia="黑体"/>
          <w:sz w:val="32"/>
          <w:szCs w:val="32"/>
        </w:rPr>
      </w:pPr>
    </w:p>
    <w:p w:rsidR="003663BA" w:rsidRDefault="003663BA">
      <w:pPr>
        <w:jc w:val="center"/>
        <w:rPr>
          <w:rFonts w:eastAsia="黑体"/>
          <w:sz w:val="32"/>
          <w:szCs w:val="32"/>
        </w:rPr>
      </w:pPr>
    </w:p>
    <w:p w:rsidR="003663BA" w:rsidRDefault="00941EB2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p w:rsidR="003663BA" w:rsidRDefault="00941EB2">
      <w:pPr>
        <w:spacing w:line="600" w:lineRule="exact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</w:t>
      </w:r>
      <w:r>
        <w:rPr>
          <w:rFonts w:eastAsia="楷体_GB2312" w:hint="eastAsia"/>
          <w:b/>
          <w:sz w:val="32"/>
          <w:szCs w:val="32"/>
        </w:rPr>
        <w:t>单位</w:t>
      </w:r>
      <w:r>
        <w:rPr>
          <w:rFonts w:eastAsia="楷体_GB2312"/>
          <w:b/>
          <w:sz w:val="32"/>
          <w:szCs w:val="32"/>
        </w:rPr>
        <w:t>基本情况</w:t>
      </w:r>
    </w:p>
    <w:p w:rsidR="003663BA" w:rsidRDefault="00941EB2">
      <w:pPr>
        <w:spacing w:line="60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江永县第三小学位于江永县县城北部，距千家峒路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公里。学校建于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1985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年，原名城关镇学区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(1994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年改名为潇浦镇学区，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1999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月又改名为潇浦镇中心小学，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2014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9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月更名为江永县第三小学），现有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23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个教学班，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910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名学生，全校在职教师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49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名：其中在编人员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49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人。主要职能：实施小学义务教育，促进基础教育发展。</w:t>
      </w:r>
    </w:p>
    <w:p w:rsidR="003663BA" w:rsidRDefault="00941EB2">
      <w:pPr>
        <w:numPr>
          <w:ilvl w:val="0"/>
          <w:numId w:val="1"/>
        </w:numPr>
        <w:spacing w:line="600" w:lineRule="exact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单位</w:t>
      </w:r>
      <w:r>
        <w:rPr>
          <w:rFonts w:eastAsia="楷体_GB2312"/>
          <w:b/>
          <w:sz w:val="32"/>
          <w:szCs w:val="32"/>
        </w:rPr>
        <w:t>年度整体支出绩效目标</w:t>
      </w:r>
    </w:p>
    <w:p w:rsidR="003663BA" w:rsidRDefault="00941EB2">
      <w:pPr>
        <w:spacing w:line="60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按照国家政策法规规定和本单位实际情况，建立健全财务基础管理制度和约束机制，依法、有效地使用财政资金，提高财政资金使用效率，在完成单位职能目标中合理分配人、财、物，使之达到较高的工作效率和水平。</w:t>
      </w:r>
    </w:p>
    <w:p w:rsidR="003663BA" w:rsidRDefault="00941EB2">
      <w:pPr>
        <w:pStyle w:val="a4"/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二、一般公共预算支出情况</w:t>
      </w:r>
    </w:p>
    <w:p w:rsidR="003663BA" w:rsidRDefault="00941EB2">
      <w:pPr>
        <w:pStyle w:val="a4"/>
        <w:spacing w:line="60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/>
          <w:b/>
          <w:sz w:val="32"/>
          <w:szCs w:val="32"/>
        </w:rPr>
        <w:t>（一）基本支出情况</w:t>
      </w:r>
    </w:p>
    <w:p w:rsidR="003663BA" w:rsidRDefault="00941EB2">
      <w:pPr>
        <w:spacing w:line="60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2023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年年度</w:t>
      </w:r>
      <w:r w:rsidR="009C3AA9">
        <w:rPr>
          <w:rFonts w:asciiTheme="minorEastAsia" w:eastAsiaTheme="minorEastAsia" w:hAnsiTheme="minorEastAsia" w:cstheme="minorEastAsia" w:hint="eastAsia"/>
          <w:sz w:val="28"/>
          <w:szCs w:val="28"/>
        </w:rPr>
        <w:t>一般公共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预算安排</w:t>
      </w:r>
      <w:r w:rsidR="009C3AA9">
        <w:rPr>
          <w:rFonts w:asciiTheme="minorEastAsia" w:eastAsiaTheme="minorEastAsia" w:hAnsiTheme="minorEastAsia" w:cstheme="minorEastAsia" w:hint="eastAsia"/>
          <w:sz w:val="28"/>
          <w:szCs w:val="28"/>
        </w:rPr>
        <w:t>814.42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万元，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其中人员经费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657.76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万元，公用经费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65.52</w:t>
      </w:r>
      <w:r w:rsidR="009C3AA9">
        <w:rPr>
          <w:rFonts w:asciiTheme="minorEastAsia" w:eastAsiaTheme="minorEastAsia" w:hAnsiTheme="minorEastAsia" w:cstheme="minorEastAsia" w:hint="eastAsia"/>
          <w:sz w:val="28"/>
          <w:szCs w:val="28"/>
        </w:rPr>
        <w:t>万元，项目支出91.14万元。</w:t>
      </w:r>
    </w:p>
    <w:p w:rsidR="003663BA" w:rsidRDefault="00941EB2">
      <w:pPr>
        <w:spacing w:line="60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2023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年江永县第三小学用于单位正常运转及人员经费共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723.28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万元，其中人员支出（含基本工资、绩效津补贴、社保）共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657.76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万元，机构正常运转经费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65.52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万元。其中办公费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12.76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万元；会议费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4.53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万元；培训费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1.56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万元；水电费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7.66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万元等</w:t>
      </w:r>
    </w:p>
    <w:p w:rsidR="003663BA" w:rsidRDefault="003663BA">
      <w:pPr>
        <w:pStyle w:val="a4"/>
        <w:spacing w:line="60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</w:p>
    <w:p w:rsidR="003663BA" w:rsidRDefault="003663BA">
      <w:pPr>
        <w:pStyle w:val="a4"/>
        <w:spacing w:line="60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</w:p>
    <w:p w:rsidR="003663BA" w:rsidRDefault="00941EB2">
      <w:pPr>
        <w:pStyle w:val="a4"/>
        <w:numPr>
          <w:ilvl w:val="0"/>
          <w:numId w:val="2"/>
        </w:numPr>
        <w:spacing w:line="60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/>
          <w:b/>
          <w:sz w:val="32"/>
          <w:szCs w:val="32"/>
        </w:rPr>
        <w:lastRenderedPageBreak/>
        <w:t>项目支出情况</w:t>
      </w:r>
    </w:p>
    <w:p w:rsidR="003663BA" w:rsidRDefault="00941EB2" w:rsidP="003663BA">
      <w:pPr>
        <w:pStyle w:val="a4"/>
        <w:numPr>
          <w:ilvl w:val="0"/>
          <w:numId w:val="3"/>
        </w:numPr>
        <w:spacing w:line="600" w:lineRule="exact"/>
        <w:ind w:leftChars="200" w:left="42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标准化食堂建设：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51.1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万元，用于江永县第三小学标准化食堂建设。</w:t>
      </w:r>
    </w:p>
    <w:p w:rsidR="003663BA" w:rsidRDefault="00941EB2" w:rsidP="003663BA">
      <w:pPr>
        <w:pStyle w:val="a4"/>
        <w:numPr>
          <w:ilvl w:val="0"/>
          <w:numId w:val="3"/>
        </w:numPr>
        <w:spacing w:line="600" w:lineRule="exact"/>
        <w:ind w:leftChars="200" w:left="42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大门改建工程：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40.04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万元，用于江永县第三小学大门改建项目。</w:t>
      </w:r>
    </w:p>
    <w:p w:rsidR="003663BA" w:rsidRDefault="00941EB2">
      <w:pPr>
        <w:pStyle w:val="a4"/>
        <w:numPr>
          <w:ilvl w:val="0"/>
          <w:numId w:val="4"/>
        </w:numPr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3663BA" w:rsidRDefault="00941EB2">
      <w:pPr>
        <w:pStyle w:val="a4"/>
        <w:spacing w:line="600" w:lineRule="exact"/>
        <w:ind w:firstLineChars="400" w:firstLine="1280"/>
        <w:rPr>
          <w:rFonts w:ascii="Times New Roman" w:eastAsia="楷体_GB2312" w:hAnsi="Times New Roman"/>
          <w:bCs/>
          <w:sz w:val="32"/>
          <w:szCs w:val="32"/>
        </w:rPr>
      </w:pPr>
      <w:r>
        <w:rPr>
          <w:rFonts w:ascii="Times New Roman" w:eastAsia="楷体_GB2312" w:hAnsi="Times New Roman" w:hint="eastAsia"/>
          <w:bCs/>
          <w:sz w:val="32"/>
          <w:szCs w:val="32"/>
        </w:rPr>
        <w:t>无</w:t>
      </w:r>
    </w:p>
    <w:p w:rsidR="003663BA" w:rsidRDefault="00941EB2">
      <w:pPr>
        <w:pStyle w:val="a4"/>
        <w:numPr>
          <w:ilvl w:val="0"/>
          <w:numId w:val="4"/>
        </w:numPr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国有资本经营预算支出情况</w:t>
      </w:r>
    </w:p>
    <w:p w:rsidR="003663BA" w:rsidRDefault="00941EB2">
      <w:pPr>
        <w:pStyle w:val="a4"/>
        <w:spacing w:line="600" w:lineRule="exact"/>
        <w:ind w:firstLineChars="400" w:firstLine="128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bCs/>
          <w:sz w:val="32"/>
          <w:szCs w:val="32"/>
        </w:rPr>
        <w:t>无</w:t>
      </w:r>
    </w:p>
    <w:p w:rsidR="003663BA" w:rsidRDefault="00941EB2">
      <w:pPr>
        <w:pStyle w:val="a4"/>
        <w:numPr>
          <w:ilvl w:val="0"/>
          <w:numId w:val="4"/>
        </w:numPr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社会保险基金预算支出情况</w:t>
      </w:r>
    </w:p>
    <w:p w:rsidR="003663BA" w:rsidRDefault="00941EB2" w:rsidP="003663BA">
      <w:pPr>
        <w:pStyle w:val="a4"/>
        <w:spacing w:line="600" w:lineRule="exact"/>
        <w:ind w:leftChars="200" w:left="420" w:firstLineChars="0" w:firstLine="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2023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年机关事业单位基本养老保险缴费支出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68.2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万元，职工基本医疗保险缴费支出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32.85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万元，其他社会保障缴费支出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3.08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万元。社会保险基金预算支出共计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104.13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</w:t>
      </w:r>
    </w:p>
    <w:p w:rsidR="003663BA" w:rsidRDefault="00941EB2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六、部门整体支出绩效情况</w:t>
      </w:r>
    </w:p>
    <w:p w:rsidR="003663BA" w:rsidRDefault="00941EB2">
      <w:pPr>
        <w:pStyle w:val="a3"/>
        <w:widowControl/>
        <w:spacing w:beforeAutospacing="0" w:afterAutospacing="0" w:line="33" w:lineRule="atLeast"/>
        <w:ind w:firstLineChars="200" w:firstLine="560"/>
        <w:jc w:val="both"/>
        <w:rPr>
          <w:rFonts w:asciiTheme="minorEastAsia" w:eastAsiaTheme="minorEastAsia" w:hAnsiTheme="minorEastAsia" w:cstheme="minorEastAsia"/>
          <w:kern w:val="2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2023</w:t>
      </w: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年，我单位积极履职，强化管理，较好地完成了年度工作目标。通过加强预算收支管理，不断建立健全内部管理制度，梳理内部管理流程，部门整体支出管理水平得到提升。根据部门整体支出绩效评价指标体系，我单位</w:t>
      </w: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2023</w:t>
      </w: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年度评价得分为</w:t>
      </w: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99</w:t>
      </w: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分。部门整体支出绩效情况中，部门资金使用率得分</w:t>
      </w: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10</w:t>
      </w: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分，其他分值如下：</w:t>
      </w:r>
    </w:p>
    <w:p w:rsidR="003663BA" w:rsidRDefault="003663BA">
      <w:pPr>
        <w:pStyle w:val="a3"/>
        <w:widowControl/>
        <w:spacing w:beforeAutospacing="0" w:afterAutospacing="0" w:line="33" w:lineRule="atLeast"/>
        <w:ind w:firstLineChars="200" w:firstLine="560"/>
        <w:jc w:val="both"/>
        <w:rPr>
          <w:rFonts w:asciiTheme="minorEastAsia" w:eastAsiaTheme="minorEastAsia" w:hAnsiTheme="minorEastAsia" w:cstheme="minorEastAsia"/>
          <w:kern w:val="2"/>
          <w:sz w:val="28"/>
          <w:szCs w:val="28"/>
        </w:rPr>
      </w:pPr>
    </w:p>
    <w:tbl>
      <w:tblPr>
        <w:tblW w:w="9810" w:type="dxa"/>
        <w:jc w:val="center"/>
        <w:tblLayout w:type="fixed"/>
        <w:tblLook w:val="04A0"/>
      </w:tblPr>
      <w:tblGrid>
        <w:gridCol w:w="814"/>
        <w:gridCol w:w="1157"/>
        <w:gridCol w:w="1380"/>
        <w:gridCol w:w="2173"/>
        <w:gridCol w:w="1485"/>
        <w:gridCol w:w="1249"/>
        <w:gridCol w:w="772"/>
        <w:gridCol w:w="780"/>
      </w:tblGrid>
      <w:tr w:rsidR="003663BA">
        <w:trPr>
          <w:trHeight w:val="312"/>
          <w:jc w:val="center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绩效指标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一级指标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2"/>
                <w:szCs w:val="22"/>
                <w:lang/>
              </w:rPr>
              <w:t>二级指标</w:t>
            </w:r>
          </w:p>
        </w:tc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三级指标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年度指标值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实际完成值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分值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得分</w:t>
            </w:r>
          </w:p>
        </w:tc>
      </w:tr>
      <w:tr w:rsidR="003663BA">
        <w:trPr>
          <w:trHeight w:val="549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2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  <w:sz w:val="24"/>
              </w:rPr>
            </w:pPr>
          </w:p>
        </w:tc>
      </w:tr>
      <w:tr w:rsidR="003663BA">
        <w:trPr>
          <w:trHeight w:val="648"/>
          <w:jc w:val="center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绩效指标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产出指标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  <w:szCs w:val="22"/>
                <w:lang/>
              </w:rPr>
              <w:t>数量指标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大门改建工程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648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标准化食堂建设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个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648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一次性抚恤金发放人数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648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遗嘱人员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648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教师节慰问金发放人数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51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51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648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教师培训次数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次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次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648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考核人数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49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49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648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  <w:szCs w:val="22"/>
                <w:lang/>
              </w:rPr>
              <w:t>质量指标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培训完成考核率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100%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100%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648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  <w:szCs w:val="22"/>
                <w:lang/>
              </w:rPr>
              <w:t>时效指标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完成时间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2023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年内完成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2023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年内完成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164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效益指标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  <w:szCs w:val="22"/>
                <w:lang/>
              </w:rPr>
              <w:t>经济效益指标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提高教师队伍生活质量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提高教师队伍生活质量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提高教师队伍生活质量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164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  <w:szCs w:val="22"/>
                <w:lang/>
              </w:rPr>
              <w:t>社会效益指标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促进全校师生全面发展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促进全校师生全面发展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促进全校师生全面发展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164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  <w:szCs w:val="22"/>
                <w:lang/>
              </w:rPr>
              <w:t>生态效益指标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校园环境改善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改善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改善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164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  <w:szCs w:val="22"/>
                <w:lang/>
              </w:rPr>
              <w:t>可持续影响指标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</w:tr>
      <w:tr w:rsidR="003663BA">
        <w:trPr>
          <w:trHeight w:val="648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满意度指标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  <w:szCs w:val="22"/>
                <w:lang/>
              </w:rPr>
              <w:t>服务对象满意度指标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家长满意度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100%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98%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</w:tr>
      <w:tr w:rsidR="009C3AA9" w:rsidTr="00EE3EF4">
        <w:trPr>
          <w:trHeight w:val="162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lang/>
              </w:rPr>
            </w:pP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成本指标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  <w:szCs w:val="22"/>
                <w:lang/>
              </w:rPr>
              <w:t>经济成本指标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基本支出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723.28万元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723.28万元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9C3AA9" w:rsidTr="00EE3EF4">
        <w:trPr>
          <w:trHeight w:val="162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项目支出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91.14万元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91.14万元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A9" w:rsidRDefault="009C3AA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</w:tr>
      <w:tr w:rsidR="003663BA">
        <w:trPr>
          <w:trHeight w:val="162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  <w:szCs w:val="22"/>
                <w:lang/>
              </w:rPr>
              <w:t>社会成本指标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资金使用合规性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合规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合规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10</w:t>
            </w:r>
          </w:p>
        </w:tc>
      </w:tr>
      <w:tr w:rsidR="003663BA">
        <w:trPr>
          <w:trHeight w:val="162"/>
          <w:jc w:val="center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941EB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2"/>
                <w:szCs w:val="22"/>
                <w:lang/>
              </w:rPr>
              <w:t>生态环境成本指标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3BA" w:rsidRDefault="003663BA">
            <w:pPr>
              <w:rPr>
                <w:rFonts w:asciiTheme="minorEastAsia" w:eastAsiaTheme="minorEastAsia" w:hAnsiTheme="minorEastAsia" w:cstheme="minorEastAsia"/>
                <w:color w:val="000000"/>
                <w:kern w:val="0"/>
                <w:sz w:val="22"/>
                <w:szCs w:val="22"/>
                <w:lang/>
              </w:rPr>
            </w:pPr>
          </w:p>
        </w:tc>
      </w:tr>
    </w:tbl>
    <w:p w:rsidR="003663BA" w:rsidRDefault="003663BA">
      <w:pPr>
        <w:pStyle w:val="a3"/>
        <w:widowControl/>
        <w:spacing w:beforeAutospacing="0" w:afterAutospacing="0" w:line="33" w:lineRule="atLeast"/>
        <w:ind w:firstLineChars="200" w:firstLine="560"/>
        <w:jc w:val="both"/>
        <w:rPr>
          <w:rFonts w:asciiTheme="minorEastAsia" w:eastAsiaTheme="minorEastAsia" w:hAnsiTheme="minorEastAsia" w:cstheme="minorEastAsia"/>
          <w:kern w:val="2"/>
          <w:sz w:val="28"/>
          <w:szCs w:val="28"/>
        </w:rPr>
      </w:pPr>
    </w:p>
    <w:p w:rsidR="003663BA" w:rsidRDefault="00941EB2">
      <w:pPr>
        <w:pStyle w:val="a4"/>
        <w:spacing w:line="60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七、存在的问题及原因分析</w:t>
      </w:r>
    </w:p>
    <w:p w:rsidR="003663BA" w:rsidRDefault="00941EB2">
      <w:pPr>
        <w:spacing w:line="60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预算编制工作有待细化。预算编制不够明确和细化，预算编制的合理性需要提高，预算执行力度还要进一步加强。</w:t>
      </w:r>
    </w:p>
    <w:p w:rsidR="003663BA" w:rsidRDefault="00941EB2">
      <w:pPr>
        <w:spacing w:line="60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财务制度不够健全。</w:t>
      </w:r>
    </w:p>
    <w:p w:rsidR="003663BA" w:rsidRDefault="00941EB2">
      <w:pPr>
        <w:spacing w:line="60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3.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相关人员对预算业务有待进一步加强。</w:t>
      </w:r>
    </w:p>
    <w:p w:rsidR="003663BA" w:rsidRDefault="00941EB2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八、下一步改进措施</w:t>
      </w:r>
    </w:p>
    <w:p w:rsidR="003663BA" w:rsidRDefault="00941EB2">
      <w:pPr>
        <w:pStyle w:val="a3"/>
        <w:widowControl/>
        <w:spacing w:beforeAutospacing="0" w:afterAutospacing="0" w:line="33" w:lineRule="atLeast"/>
        <w:ind w:firstLineChars="200" w:firstLine="560"/>
        <w:jc w:val="both"/>
        <w:rPr>
          <w:rFonts w:asciiTheme="minorEastAsia" w:eastAsiaTheme="minorEastAsia" w:hAnsiTheme="minorEastAsia" w:cstheme="minorEastAsia"/>
          <w:kern w:val="2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针对上述存在的问题及对外整体支出管理工作的需要，拟实施的改进措施如下：</w:t>
      </w:r>
    </w:p>
    <w:p w:rsidR="003663BA" w:rsidRDefault="00941EB2">
      <w:pPr>
        <w:pStyle w:val="a3"/>
        <w:widowControl/>
        <w:spacing w:beforeAutospacing="0" w:afterAutospacing="0" w:line="33" w:lineRule="atLeast"/>
        <w:ind w:firstLineChars="200" w:firstLine="560"/>
        <w:jc w:val="both"/>
        <w:rPr>
          <w:rFonts w:asciiTheme="minorEastAsia" w:eastAsiaTheme="minorEastAsia" w:hAnsiTheme="minorEastAsia" w:cstheme="minorEastAsia"/>
          <w:kern w:val="2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1.</w:t>
      </w: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细化预算编制工作，认真做好预算的编制。进一步加强单位内部机构各股室的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</w:t>
      </w:r>
    </w:p>
    <w:p w:rsidR="003663BA" w:rsidRDefault="00941EB2">
      <w:pPr>
        <w:pStyle w:val="a3"/>
        <w:widowControl/>
        <w:spacing w:beforeAutospacing="0" w:afterAutospacing="0" w:line="33" w:lineRule="atLeast"/>
        <w:ind w:firstLineChars="200" w:firstLine="560"/>
        <w:jc w:val="both"/>
        <w:rPr>
          <w:rFonts w:asciiTheme="minorEastAsia" w:eastAsiaTheme="minorEastAsia" w:hAnsiTheme="minorEastAsia" w:cstheme="minorEastAsia"/>
          <w:kern w:val="2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2.</w:t>
      </w: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加强财务管理，严格财务审核。进一步加强单位财务管理，健全单位财务管理制度体系，规范单位财务行为。</w:t>
      </w:r>
    </w:p>
    <w:p w:rsidR="003663BA" w:rsidRDefault="00941EB2">
      <w:pPr>
        <w:pStyle w:val="a3"/>
        <w:widowControl/>
        <w:spacing w:beforeAutospacing="0" w:afterAutospacing="0" w:line="33" w:lineRule="atLeast"/>
        <w:ind w:firstLineChars="200" w:firstLine="560"/>
        <w:jc w:val="both"/>
        <w:rPr>
          <w:rFonts w:ascii="微软雅黑" w:eastAsia="微软雅黑" w:hAnsi="微软雅黑" w:cs="微软雅黑"/>
          <w:color w:val="333333"/>
        </w:rPr>
      </w:pP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3.</w:t>
      </w: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对相关人员加强培训，特别是针对《预算法》《行政事业单位会计制度》等学习培训，规范部门</w:t>
      </w:r>
      <w:r>
        <w:rPr>
          <w:rFonts w:asciiTheme="minorEastAsia" w:eastAsiaTheme="minorEastAsia" w:hAnsiTheme="minorEastAsia" w:cstheme="minorEastAsia" w:hint="eastAsia"/>
          <w:kern w:val="2"/>
          <w:sz w:val="28"/>
          <w:szCs w:val="28"/>
        </w:rPr>
        <w:t>预算收支核算，切实提高部门预算收支管理水平</w:t>
      </w:r>
      <w:r>
        <w:rPr>
          <w:rFonts w:ascii="微软雅黑" w:eastAsia="微软雅黑" w:hAnsi="微软雅黑" w:cs="微软雅黑" w:hint="eastAsia"/>
          <w:color w:val="333333"/>
        </w:rPr>
        <w:t>。</w:t>
      </w:r>
    </w:p>
    <w:p w:rsidR="003663BA" w:rsidRDefault="003663BA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</w:p>
    <w:p w:rsidR="003663BA" w:rsidRDefault="00941EB2">
      <w:pPr>
        <w:spacing w:line="600" w:lineRule="exact"/>
        <w:ind w:firstLineChars="200" w:firstLine="640"/>
        <w:rPr>
          <w:rFonts w:eastAsia="黑体" w:hint="eastAsia"/>
          <w:sz w:val="32"/>
          <w:szCs w:val="32"/>
        </w:rPr>
      </w:pPr>
      <w:r>
        <w:rPr>
          <w:rFonts w:eastAsia="黑体"/>
          <w:sz w:val="32"/>
          <w:szCs w:val="32"/>
        </w:rPr>
        <w:t>九、绩效自评结果拟应用和公开情况</w:t>
      </w:r>
    </w:p>
    <w:p w:rsidR="002F5731" w:rsidRDefault="002F5731" w:rsidP="002F5731">
      <w:pPr>
        <w:spacing w:line="600" w:lineRule="exact"/>
        <w:ind w:firstLineChars="200" w:firstLine="560"/>
        <w:rPr>
          <w:rFonts w:asciiTheme="minorEastAsia" w:eastAsiaTheme="minorEastAsia" w:hAnsiTheme="minorEastAsia" w:cstheme="minorEastAsia" w:hint="eastAsia"/>
          <w:sz w:val="28"/>
          <w:szCs w:val="28"/>
        </w:rPr>
      </w:pPr>
      <w:r w:rsidRPr="002F5731">
        <w:rPr>
          <w:rFonts w:asciiTheme="minorEastAsia" w:eastAsiaTheme="minorEastAsia" w:hAnsiTheme="minorEastAsia" w:cstheme="minorEastAsia" w:hint="eastAsia"/>
          <w:sz w:val="28"/>
          <w:szCs w:val="28"/>
        </w:rPr>
        <w:t>我校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根据教育部门和上级主管部门的要求，认真开展了绩效自评工作。经过自评，学校在教育教学、管理服务和创新发展等方面取得了显著成绩，整体绩效水平较高。</w:t>
      </w:r>
    </w:p>
    <w:p w:rsidR="002F5731" w:rsidRDefault="002F5731" w:rsidP="002F5731">
      <w:pPr>
        <w:spacing w:line="600" w:lineRule="exact"/>
        <w:ind w:firstLineChars="200" w:firstLine="560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为了充分发挥绩效自评结果的激励和导向作用，学校将自评结果应用于以下几个方面：一是优化资源配置，提升教育教学质量；二是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加强内部管理，提高管理效能；三是推动创新发展，增强学校核心竞争力。</w:t>
      </w:r>
    </w:p>
    <w:p w:rsidR="002F5731" w:rsidRDefault="002F5731" w:rsidP="002F5731">
      <w:pPr>
        <w:spacing w:line="600" w:lineRule="exact"/>
        <w:ind w:firstLineChars="200" w:firstLine="560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同时，学校将自评结果以适当的方式向全校师生和社会公众公开，接受监督。公开内容包括自评报告、绩效指标数据和改进措施等，确保信息的真实性和准确性。</w:t>
      </w:r>
    </w:p>
    <w:p w:rsidR="002F5731" w:rsidRPr="002F5731" w:rsidRDefault="002F5731" w:rsidP="002F5731">
      <w:pPr>
        <w:spacing w:line="60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通过自评结果的应用和公开，学校将不断提升整体绩效水平，为师生提供更优质的教育服务，为社会发展做出更大的贡献。</w:t>
      </w:r>
    </w:p>
    <w:p w:rsidR="003663BA" w:rsidRDefault="003663BA">
      <w:pPr>
        <w:widowControl/>
      </w:pPr>
    </w:p>
    <w:p w:rsidR="003663BA" w:rsidRDefault="003663BA">
      <w:pPr>
        <w:widowControl/>
      </w:pPr>
    </w:p>
    <w:p w:rsidR="003663BA" w:rsidRDefault="003663BA">
      <w:pPr>
        <w:widowControl/>
      </w:pPr>
    </w:p>
    <w:p w:rsidR="003663BA" w:rsidRDefault="003663BA">
      <w:pPr>
        <w:widowControl/>
      </w:pPr>
    </w:p>
    <w:p w:rsidR="003663BA" w:rsidRDefault="003663BA">
      <w:pPr>
        <w:widowControl/>
      </w:pPr>
      <w:bookmarkStart w:id="0" w:name="_GoBack"/>
      <w:bookmarkEnd w:id="0"/>
    </w:p>
    <w:sectPr w:rsidR="003663BA" w:rsidSect="003663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AA9" w:rsidRDefault="009C3AA9" w:rsidP="009C3AA9">
      <w:r>
        <w:separator/>
      </w:r>
    </w:p>
  </w:endnote>
  <w:endnote w:type="continuationSeparator" w:id="1">
    <w:p w:rsidR="009C3AA9" w:rsidRDefault="009C3AA9" w:rsidP="009C3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AA9" w:rsidRDefault="009C3AA9" w:rsidP="009C3AA9">
      <w:r>
        <w:separator/>
      </w:r>
    </w:p>
  </w:footnote>
  <w:footnote w:type="continuationSeparator" w:id="1">
    <w:p w:rsidR="009C3AA9" w:rsidRDefault="009C3AA9" w:rsidP="009C3A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D1D961"/>
    <w:multiLevelType w:val="singleLevel"/>
    <w:tmpl w:val="D4D1D96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0084E6"/>
    <w:multiLevelType w:val="singleLevel"/>
    <w:tmpl w:val="D80084E6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60D4746"/>
    <w:multiLevelType w:val="singleLevel"/>
    <w:tmpl w:val="060D4746"/>
    <w:lvl w:ilvl="0">
      <w:start w:val="1"/>
      <w:numFmt w:val="decimal"/>
      <w:suff w:val="nothing"/>
      <w:lvlText w:val="%1、"/>
      <w:lvlJc w:val="left"/>
    </w:lvl>
  </w:abstractNum>
  <w:abstractNum w:abstractNumId="3">
    <w:nsid w:val="7FA5793A"/>
    <w:multiLevelType w:val="singleLevel"/>
    <w:tmpl w:val="7FA5793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WJiMzMyYzg5NjYzZWI0MTIyZjU0NjFkZjFkNzhjZTYifQ=="/>
  </w:docVars>
  <w:rsids>
    <w:rsidRoot w:val="3B2E149E"/>
    <w:rsid w:val="002F5731"/>
    <w:rsid w:val="003663BA"/>
    <w:rsid w:val="007D5C8A"/>
    <w:rsid w:val="00941EB2"/>
    <w:rsid w:val="009C3AA9"/>
    <w:rsid w:val="04525DF9"/>
    <w:rsid w:val="0B171342"/>
    <w:rsid w:val="0DD245AE"/>
    <w:rsid w:val="0EBE45CE"/>
    <w:rsid w:val="0FC336C3"/>
    <w:rsid w:val="1E81151C"/>
    <w:rsid w:val="238C6E29"/>
    <w:rsid w:val="2BFC0102"/>
    <w:rsid w:val="3851104B"/>
    <w:rsid w:val="3B2E149E"/>
    <w:rsid w:val="3D422171"/>
    <w:rsid w:val="45B42EC3"/>
    <w:rsid w:val="46374628"/>
    <w:rsid w:val="498176A7"/>
    <w:rsid w:val="4B0709C0"/>
    <w:rsid w:val="4C1B34CF"/>
    <w:rsid w:val="51C97AAF"/>
    <w:rsid w:val="5C311D40"/>
    <w:rsid w:val="605E71E8"/>
    <w:rsid w:val="63AE0A2D"/>
    <w:rsid w:val="6B9A1305"/>
    <w:rsid w:val="7E773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3663B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autoRedefine/>
    <w:qFormat/>
    <w:rsid w:val="003663BA"/>
    <w:pPr>
      <w:spacing w:beforeAutospacing="1" w:afterAutospacing="1"/>
      <w:jc w:val="left"/>
    </w:pPr>
    <w:rPr>
      <w:kern w:val="0"/>
      <w:sz w:val="24"/>
    </w:rPr>
  </w:style>
  <w:style w:type="paragraph" w:styleId="a4">
    <w:name w:val="List Paragraph"/>
    <w:basedOn w:val="a"/>
    <w:autoRedefine/>
    <w:uiPriority w:val="99"/>
    <w:qFormat/>
    <w:rsid w:val="003663BA"/>
    <w:pPr>
      <w:ind w:firstLineChars="200" w:firstLine="420"/>
    </w:pPr>
    <w:rPr>
      <w:szCs w:val="22"/>
    </w:rPr>
  </w:style>
  <w:style w:type="paragraph" w:styleId="a5">
    <w:name w:val="header"/>
    <w:basedOn w:val="a"/>
    <w:link w:val="Char"/>
    <w:rsid w:val="009C3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C3AA9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rsid w:val="009C3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C3AA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1856</Words>
  <Characters>386</Characters>
  <Application>Microsoft Office Word</Application>
  <DocSecurity>0</DocSecurity>
  <Lines>3</Lines>
  <Paragraphs>4</Paragraphs>
  <ScaleCrop>false</ScaleCrop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^与久。</dc:creator>
  <cp:lastModifiedBy>161023001</cp:lastModifiedBy>
  <cp:revision>5</cp:revision>
  <cp:lastPrinted>2024-03-19T06:34:00Z</cp:lastPrinted>
  <dcterms:created xsi:type="dcterms:W3CDTF">2023-11-17T00:43:00Z</dcterms:created>
  <dcterms:modified xsi:type="dcterms:W3CDTF">2024-04-18T02:59:00Z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3A49B07AF4B9453B95A4E358CAB9BDBE_13</vt:lpwstr>
  </property>
</Properties>
</file>